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color w:val="auto"/>
          <w:lang w:val="en-US"/>
        </w:rPr>
      </w:pPr>
      <w:r>
        <w:rPr>
          <w:rFonts w:hint="eastAsia" w:ascii="黑体" w:hAnsi="黑体" w:eastAsia="黑体" w:cs="黑体"/>
          <w:color w:val="auto"/>
          <w:lang w:val="en-US"/>
        </w:rPr>
        <w:t>附件</w:t>
      </w:r>
      <w:r>
        <w:rPr>
          <w:rFonts w:hint="eastAsia" w:ascii="Times New Roman" w:hAnsi="Times New Roman" w:eastAsia="黑体" w:cs="黑体"/>
          <w:color w:val="auto"/>
          <w:lang w:val="en-US"/>
        </w:rPr>
        <w:t>3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赛风赛纪、反兴奋剂责任书</w:t>
      </w:r>
    </w:p>
    <w:bookmarkEnd w:id="0"/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"https://law.wkinfo.com.cn/document/show?collection=legislation&amp;aid=MTAwMTMwMDM1NzY=&amp;language=中文" </w:instrText>
      </w:r>
      <w:r>
        <w:rPr>
          <w:color w:val="auto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eastAsia="仿宋_GB2312" w:cs="仿宋_GB2312"/>
          <w:color w:val="auto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年天津市青少年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跆拳道锦标赛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赛风赛纪、反兴奋剂责任书》之日起至本次比赛结束，确保本单位所属运动员不发生任何赛风赛纪和兴奋剂违规事件。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color w:val="auto"/>
        </w:rPr>
      </w:pPr>
    </w:p>
    <w:p>
      <w:pPr>
        <w:ind w:firstLine="3520" w:firstLineChars="11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参赛单位（盖章）:</w:t>
      </w:r>
      <w:r>
        <w:rPr>
          <w:rFonts w:hint="eastAsia" w:eastAsia="仿宋_GB2312" w:cs="仿宋_GB2312"/>
          <w:color w:val="FF0000"/>
          <w:sz w:val="32"/>
          <w:szCs w:val="32"/>
        </w:rPr>
        <w:t>XXXX单位</w:t>
      </w:r>
    </w:p>
    <w:p>
      <w:pPr>
        <w:jc w:val="center"/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 xml:space="preserve">                 </w:t>
      </w:r>
      <w:r>
        <w:rPr>
          <w:rFonts w:hint="eastAsia" w:eastAsia="仿宋_GB2312" w:cs="仿宋_GB2312"/>
          <w:color w:val="auto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06A19"/>
    <w:rsid w:val="0CC06A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2025-07-23T02:52:00Z</dcterms:created>
  <dc:creator>JSR</dc:creator>
  <cp:lastModifiedBy>JSR</cp:lastModifiedBy>
  <dcterms:modified xsi:type="dcterms:W3CDTF">2025-07-23T02:53:22Z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