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拳击冠军赛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赛风赛纪、反兴奋剂责任书》之日起至本次比赛结束，确保本单位所</w:t>
      </w:r>
      <w:r>
        <w:rPr>
          <w:rFonts w:hint="eastAsia" w:ascii="仿宋_GB2312" w:hAnsi="仿宋_GB2312" w:eastAsia="仿宋_GB2312" w:cs="仿宋_GB2312"/>
          <w:sz w:val="32"/>
          <w:szCs w:val="32"/>
        </w:rPr>
        <w:t>属运动员不发生任何赛风赛纪和兴奋剂违规事件。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>
      <w:pPr>
        <w:ind w:firstLine="4480" w:firstLineChars="14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/>
    </w:p>
    <w:sectPr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92D7E"/>
    <w:rsid w:val="31D92D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2025-08-18T08:28:00Z</dcterms:created>
  <dc:creator>JSR</dc:creator>
  <cp:lastModifiedBy>JSR</cp:lastModifiedBy>
  <dcterms:modified xsi:type="dcterms:W3CDTF">2025-08-18T08:28:42Z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